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b/>
          <w:bCs/>
          <w:sz w:val="28"/>
          <w:szCs w:val="28"/>
        </w:rPr>
      </w:pPr>
      <w:r>
        <w:rPr>
          <w:sz w:val="24"/>
          <w:szCs w:val="24"/>
        </w:rPr>
        <w:drawing>
          <wp:anchor behindDoc="1" distT="0" distB="0" distL="0" distR="0" simplePos="0" locked="0" layoutInCell="0" allowOverlap="1" relativeHeight="4">
            <wp:simplePos x="0" y="0"/>
            <wp:positionH relativeFrom="margin">
              <wp:posOffset>-737235</wp:posOffset>
            </wp:positionH>
            <wp:positionV relativeFrom="paragraph">
              <wp:posOffset>-1156970</wp:posOffset>
            </wp:positionV>
            <wp:extent cx="895350" cy="895350"/>
            <wp:effectExtent l="0" t="0" r="0" b="0"/>
            <wp:wrapNone/>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2"/>
                    <a:stretch>
                      <a:fillRect/>
                    </a:stretch>
                  </pic:blipFill>
                  <pic:spPr bwMode="auto">
                    <a:xfrm>
                      <a:off x="0" y="0"/>
                      <a:ext cx="895350" cy="895350"/>
                    </a:xfrm>
                    <a:prstGeom prst="rect">
                      <a:avLst/>
                    </a:prstGeom>
                  </pic:spPr>
                </pic:pic>
              </a:graphicData>
            </a:graphic>
          </wp:anchor>
        </w:drawing>
      </w:r>
    </w:p>
    <w:p>
      <w:pPr>
        <w:pStyle w:val="Normal"/>
        <w:spacing w:lineRule="auto" w:line="276"/>
        <w:jc w:val="center"/>
        <w:rPr>
          <w:sz w:val="22"/>
          <w:szCs w:val="22"/>
        </w:rPr>
      </w:pPr>
      <w:r>
        <w:rPr>
          <w:b/>
          <w:bCs/>
          <w:sz w:val="22"/>
          <w:szCs w:val="22"/>
          <w:u w:val="single"/>
        </w:rPr>
        <w:t>Termo de Adesão aos Serviços Terapêuticos ofertados pelo Núcleo de Atendimento Biopsicossocial do NAPSS e Encaminhamentos para atendimentos externos</w:t>
      </w:r>
    </w:p>
    <w:p>
      <w:pPr>
        <w:pStyle w:val="Normal"/>
        <w:spacing w:lineRule="auto" w:line="276"/>
        <w:rPr>
          <w:sz w:val="22"/>
          <w:szCs w:val="22"/>
        </w:rPr>
      </w:pPr>
      <w:r>
        <w:rPr>
          <w:sz w:val="22"/>
          <w:szCs w:val="22"/>
        </w:rPr>
      </w:r>
    </w:p>
    <w:p>
      <w:pPr>
        <w:pStyle w:val="Normal"/>
        <w:spacing w:lineRule="auto" w:line="360"/>
        <w:jc w:val="both"/>
        <w:rPr>
          <w:sz w:val="22"/>
          <w:szCs w:val="22"/>
        </w:rPr>
      </w:pPr>
      <w:r>
        <w:rPr>
          <w:rFonts w:cs="Arial" w:ascii="Arial" w:hAnsi="Arial"/>
          <w:sz w:val="22"/>
          <w:szCs w:val="22"/>
        </w:rPr>
        <w:tab/>
        <w:t xml:space="preserve">Seja bem-vindo ao acolhimento do NAPSS/PC, que de forma artesanal e singular começa a ser construído nesse momento, se assim for da sua vontade e decisão, e para tanto se faz necessário cumprir alguns critérios aqui estabelecidos: </w:t>
      </w:r>
    </w:p>
    <w:p>
      <w:pPr>
        <w:pStyle w:val="Normal"/>
        <w:spacing w:lineRule="auto" w:line="360"/>
        <w:jc w:val="both"/>
        <w:rPr>
          <w:sz w:val="22"/>
          <w:szCs w:val="22"/>
        </w:rPr>
      </w:pPr>
      <w:r>
        <w:rPr>
          <w:rFonts w:cs="Arial" w:ascii="Arial" w:hAnsi="Arial"/>
          <w:sz w:val="22"/>
          <w:szCs w:val="22"/>
        </w:rPr>
        <w:tab/>
        <w:t xml:space="preserve">Por se tratar de um serviço institucional é estabelecido um prazo mínimo de 06 meses e máximo de 01 ano de duração do processo terapêutico, levando em consideração a natureza da queixa, sua complexidade e as necessidades pessoais do usuário, sendo realizada uma primeira avaliação da demanda apresentada, através do estudo de caso na equipe terapêutica e posteriormente é dado início ao projeto terapêutico singular, no atendimento individual, sendo avaliado num espaço de 06 meses ou 24 atendimentos (o que ocorrer primeiro) para observação do processo remissivo, ficando decidido nesse momento um prazo de continuidade de mais 06 meses ou 24 atendimentos, com previsão de uma segunda avaliação e encerramento do processo terapêutico ou sua continuidade. </w:t>
      </w:r>
    </w:p>
    <w:p>
      <w:pPr>
        <w:pStyle w:val="Normal"/>
        <w:spacing w:lineRule="auto" w:line="360"/>
        <w:jc w:val="both"/>
        <w:rPr>
          <w:sz w:val="22"/>
          <w:szCs w:val="22"/>
        </w:rPr>
      </w:pPr>
      <w:r>
        <w:rPr>
          <w:rFonts w:cs="Arial" w:ascii="Arial" w:hAnsi="Arial"/>
          <w:sz w:val="22"/>
          <w:szCs w:val="22"/>
        </w:rPr>
        <w:tab/>
        <w:t>O tempo de duração de cada sessão funcionará conforme a necessidade de cada área de atuação profissional, acontecendo preferencialmente uma vez por semana e se necessário duas vezes, seja pela mesma área de saber ou outras áreas que atuam dentro da equipe terapêutica interdisciplinar.</w:t>
      </w:r>
    </w:p>
    <w:p>
      <w:pPr>
        <w:pStyle w:val="Normal"/>
        <w:spacing w:lineRule="auto" w:line="360"/>
        <w:jc w:val="both"/>
        <w:rPr>
          <w:sz w:val="22"/>
          <w:szCs w:val="22"/>
        </w:rPr>
      </w:pPr>
      <w:r>
        <w:rPr>
          <w:rFonts w:cs="Arial" w:ascii="Arial" w:hAnsi="Arial"/>
          <w:sz w:val="22"/>
          <w:szCs w:val="22"/>
        </w:rPr>
        <w:tab/>
        <w:t>Com relação a confiabilidade e sigilo no atendimento, nos casos de encaminhamento institucional os gestores serão informados quanto a adesão do usuário ao atendimento, através de informações elaboradas em consenso com a equipe terapêutica, levando em consideração a sua livre aceitação, disponibilidade e comprometimento com o Projeto Terapêutico. Diferente dos encaminhamentos institucionais na procura espontânea ao serviço de atendimento, este permanecerá sob sigilo no âmbito institucional da segurança pública, e caso ocorra alguma necessidade do usuário em função de seu estado de saúde, será necessário uma autorização prévia e por escrito. Temos algumas situações em que o Código de ética Profissional, baseado nos Direitos da Pessoa Humana, não permite sigilo: situações que põem sua vida ou a de alguém em risco, ou que sejam expostas pessoas em situação de vulnerabilidade (crianças</w:t>
      </w:r>
      <w:bookmarkStart w:id="0" w:name="_GoBack"/>
      <w:bookmarkEnd w:id="0"/>
      <w:r>
        <w:rPr>
          <w:rFonts w:cs="Arial" w:ascii="Arial" w:hAnsi="Arial"/>
          <w:sz w:val="22"/>
          <w:szCs w:val="22"/>
        </w:rPr>
        <w:t xml:space="preserve">, idosos e pessoas portadoras de necessidades especiais). </w:t>
      </w:r>
    </w:p>
    <w:p>
      <w:pPr>
        <w:pStyle w:val="Normal"/>
        <w:spacing w:lineRule="auto" w:line="360"/>
        <w:jc w:val="both"/>
        <w:rPr>
          <w:sz w:val="22"/>
          <w:szCs w:val="22"/>
        </w:rPr>
      </w:pPr>
      <w:r>
        <w:rPr>
          <w:rFonts w:cs="Arial" w:ascii="Arial" w:hAnsi="Arial"/>
          <w:sz w:val="22"/>
          <w:szCs w:val="22"/>
        </w:rPr>
        <w:tab/>
        <w:t xml:space="preserve">Caso ocorra algum tipo de desconforto seja em relação ao método de abordagem de algum profissional ou da equipe terapêutica, sinta-se livre para expressar seu interesse em permanecer ou interromper o atendimento, seja da equipe ou de algum profissional, uma vez que a falta de empatia compromete o interesse e a acreditação, sempre levando em consideração o princípio da ética e do respeito à pessoa. </w:t>
      </w:r>
    </w:p>
    <w:p>
      <w:pPr>
        <w:pStyle w:val="Normal"/>
        <w:spacing w:lineRule="auto" w:line="360"/>
        <w:jc w:val="both"/>
        <w:rPr>
          <w:sz w:val="22"/>
          <w:szCs w:val="22"/>
        </w:rPr>
      </w:pPr>
      <w:r>
        <w:rPr>
          <w:rFonts w:cs="Arial" w:ascii="Arial" w:hAnsi="Arial"/>
          <w:sz w:val="22"/>
          <w:szCs w:val="22"/>
        </w:rPr>
        <w:tab/>
        <w:t xml:space="preserve">Aceito e me comprometo em iniciar o atendimento terapêutico neste NAPSS/PC, e nas Clínicas credenciadas, comparecendo com regularidade aos atendimentos e dentro do horário estabelecido, justificando as ausências, quando necessário, e em caso de ausências não justificadas, na segunda vez, o atendimento será suspenso, bem como, me colocando de forma disponível e acessível em comum acordo com a abordagem de cada profissional, dentro de sua área de atuação e não estarei portando arma de fogo ou arma branca nem sob efeito de bebida alcoólica e outras drogas ilícitas. </w:t>
      </w:r>
    </w:p>
    <w:p>
      <w:pPr>
        <w:pStyle w:val="Normal"/>
        <w:spacing w:lineRule="auto" w:line="360"/>
        <w:jc w:val="both"/>
        <w:rPr>
          <w:sz w:val="22"/>
          <w:szCs w:val="22"/>
        </w:rPr>
      </w:pPr>
      <w:r>
        <w:rPr>
          <w:rFonts w:cs="Arial" w:ascii="Arial" w:hAnsi="Arial"/>
          <w:sz w:val="22"/>
          <w:szCs w:val="22"/>
        </w:rPr>
        <w:tab/>
        <w:t xml:space="preserve">OBS: No atendimento virtual serão levados em consideração os mesmos critérios aqui estabelecidos em relação ao atendimento, sendo necessário acontecer em horário e local que resguarda a privacidade do atendimento, tanto para o usuário como para o terapeuta. </w:t>
      </w:r>
    </w:p>
    <w:p>
      <w:pPr>
        <w:pStyle w:val="Normal"/>
        <w:spacing w:lineRule="auto" w:line="360"/>
        <w:jc w:val="both"/>
        <w:rPr>
          <w:sz w:val="22"/>
          <w:szCs w:val="22"/>
        </w:rPr>
      </w:pPr>
      <w:r>
        <w:rPr>
          <w:rFonts w:cs="Arial" w:ascii="Arial" w:hAnsi="Arial"/>
          <w:sz w:val="22"/>
          <w:szCs w:val="22"/>
        </w:rPr>
        <w:t xml:space="preserve">Considero-me ciente do presente Termo de Adesão ao Serviço Terapêutico. </w:t>
      </w:r>
    </w:p>
    <w:p>
      <w:pPr>
        <w:pStyle w:val="Normal"/>
        <w:spacing w:lineRule="auto" w:line="276"/>
        <w:jc w:val="both"/>
        <w:rPr>
          <w:sz w:val="22"/>
          <w:szCs w:val="22"/>
        </w:rPr>
      </w:pPr>
      <w:r>
        <w:rPr>
          <w:sz w:val="22"/>
          <w:szCs w:val="22"/>
        </w:rPr>
      </w:r>
    </w:p>
    <w:p>
      <w:pPr>
        <w:pStyle w:val="Normal"/>
        <w:spacing w:lineRule="auto" w:line="276"/>
        <w:jc w:val="left"/>
        <w:rPr>
          <w:sz w:val="22"/>
          <w:szCs w:val="22"/>
        </w:rPr>
      </w:pPr>
      <w:r>
        <w:rPr>
          <w:sz w:val="22"/>
          <w:szCs w:val="22"/>
        </w:rPr>
        <w:t xml:space="preserve">                                    </w:t>
      </w:r>
      <w:r>
        <w:rPr>
          <w:sz w:val="22"/>
          <w:szCs w:val="22"/>
        </w:rPr>
        <w:t>________________________________________</w:t>
      </w:r>
    </w:p>
    <w:p>
      <w:pPr>
        <w:pStyle w:val="Normal"/>
        <w:spacing w:lineRule="auto" w:line="276"/>
        <w:jc w:val="left"/>
        <w:rPr>
          <w:sz w:val="22"/>
          <w:szCs w:val="22"/>
        </w:rPr>
      </w:pPr>
      <w:r>
        <w:rPr>
          <w:sz w:val="22"/>
          <w:szCs w:val="22"/>
        </w:rPr>
        <w:t xml:space="preserve">                                                                      </w:t>
      </w:r>
      <w:r>
        <w:rPr>
          <w:sz w:val="22"/>
          <w:szCs w:val="22"/>
        </w:rPr>
        <w:t>Assinatura</w:t>
      </w:r>
    </w:p>
    <w:p>
      <w:pPr>
        <w:pStyle w:val="Normal"/>
        <w:spacing w:lineRule="auto" w:line="276"/>
        <w:jc w:val="left"/>
        <w:rPr>
          <w:sz w:val="22"/>
          <w:szCs w:val="22"/>
        </w:rPr>
      </w:pPr>
      <w:r>
        <w:rPr>
          <w:sz w:val="22"/>
          <w:szCs w:val="22"/>
        </w:rPr>
        <w:t xml:space="preserve">                                                </w:t>
      </w:r>
    </w:p>
    <w:p>
      <w:pPr>
        <w:pStyle w:val="Normal"/>
        <w:spacing w:lineRule="auto" w:line="276" w:before="0" w:after="160"/>
        <w:jc w:val="left"/>
        <w:rPr>
          <w:sz w:val="22"/>
          <w:szCs w:val="22"/>
        </w:rPr>
      </w:pPr>
      <w:r>
        <w:rPr>
          <w:sz w:val="22"/>
          <w:szCs w:val="22"/>
        </w:rPr>
        <w:t xml:space="preserve">                                      </w:t>
      </w:r>
      <w:r>
        <w:rPr>
          <w:sz w:val="22"/>
          <w:szCs w:val="22"/>
        </w:rPr>
        <w:t>_________________________ , ___/___/____</w:t>
      </w:r>
    </w:p>
    <w:sectPr>
      <w:headerReference w:type="default" r:id="rId3"/>
      <w:type w:val="nextPage"/>
      <w:pgSz w:w="11906" w:h="16838"/>
      <w:pgMar w:left="1701" w:right="1701" w:gutter="0" w:header="709"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Autospacing="1"/>
      <w:jc w:val="center"/>
      <w:rPr>
        <w:b/>
        <w:bCs/>
        <w:sz w:val="28"/>
        <w:szCs w:val="28"/>
      </w:rPr>
    </w:pPr>
    <w:r>
      <w:drawing>
        <wp:anchor behindDoc="1" distT="0" distB="0" distL="114300" distR="114300" simplePos="0" locked="0" layoutInCell="0" allowOverlap="1" relativeHeight="3">
          <wp:simplePos x="0" y="0"/>
          <wp:positionH relativeFrom="margin">
            <wp:posOffset>5619750</wp:posOffset>
          </wp:positionH>
          <wp:positionV relativeFrom="paragraph">
            <wp:posOffset>8890</wp:posOffset>
          </wp:positionV>
          <wp:extent cx="581025" cy="714375"/>
          <wp:effectExtent l="0" t="0" r="0" b="0"/>
          <wp:wrapTopAndBottom/>
          <wp:docPr id="2"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
                  <pic:cNvPicPr>
                    <a:picLocks noChangeAspect="1" noChangeArrowheads="1"/>
                  </pic:cNvPicPr>
                </pic:nvPicPr>
                <pic:blipFill>
                  <a:blip r:embed="rId1"/>
                  <a:stretch>
                    <a:fillRect/>
                  </a:stretch>
                </pic:blipFill>
                <pic:spPr bwMode="auto">
                  <a:xfrm>
                    <a:off x="0" y="0"/>
                    <a:ext cx="581025" cy="714375"/>
                  </a:xfrm>
                  <a:prstGeom prst="rect">
                    <a:avLst/>
                  </a:prstGeom>
                </pic:spPr>
              </pic:pic>
            </a:graphicData>
          </a:graphic>
        </wp:anchor>
      </w:drawing>
    </w:r>
    <w:r>
      <w:rPr>
        <w:b/>
        <w:bCs/>
        <w:sz w:val="28"/>
        <w:szCs w:val="28"/>
      </w:rPr>
      <w:t>ESTADO DE SERGIPE                                                                                       PODER EXECUTIVO                                                                        SUPERINTENDÊNCIA GERAL DA POLÍCIA CIVIL                                              Rua Duque de Caxias, s/n, Palácio da Polícia Civil, Bairro São José, Aracaju/SE</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uiPriority w:val="99"/>
    <w:semiHidden/>
    <w:unhideWhenUsed/>
    <w:qFormat/>
    <w:rsid w:val="00cc370f"/>
    <w:rPr/>
  </w:style>
  <w:style w:type="character" w:styleId="CabealhoChar" w:customStyle="1">
    <w:name w:val="Cabeçalho Char"/>
    <w:basedOn w:val="DefaultParagraphFont"/>
    <w:uiPriority w:val="99"/>
    <w:qFormat/>
    <w:rsid w:val="00e46967"/>
    <w:rPr/>
  </w:style>
  <w:style w:type="character" w:styleId="RodapChar" w:customStyle="1">
    <w:name w:val="Rodapé Char"/>
    <w:basedOn w:val="DefaultParagraphFont"/>
    <w:uiPriority w:val="99"/>
    <w:qFormat/>
    <w:rsid w:val="00e4696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Header">
    <w:name w:val="Header"/>
    <w:basedOn w:val="Normal"/>
    <w:link w:val="CabealhoChar"/>
    <w:uiPriority w:val="99"/>
    <w:unhideWhenUsed/>
    <w:rsid w:val="00e46967"/>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e46967"/>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9C5D-9574-4DC0-A793-46A7BD47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LibreOffice/7.6.2.1$Windows_X86_64 LibreOffice_project/56f7684011345957bbf33a7ee678afaf4d2ba333</Application>
  <AppVersion>15.0000</AppVersion>
  <Pages>2</Pages>
  <Words>583</Words>
  <Characters>3337</Characters>
  <CharactersWithSpaces>4315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2023-10-04T13:04:00Z</dcterms:created>
  <dc:creator>Usuario</dc:creator>
  <dc:description/>
  <dc:language>pt-BR</dc:language>
  <cp:lastModifiedBy/>
  <cp:lastPrinted>2024-05-13T09:54:47Z</cp:lastPrinted>
  <dcterms:modified xsi:type="dcterms:W3CDTF">2024-05-13T11:29:07Z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